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Ответственность за нелегальные пассажирские перевозки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Вопросы организации пассажирских перевозок на территории муниципального образования относятся к полномочиям органов местного самоуправления.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Законность осуществления пассажирских перевозок на территории муниципального образования подтверждается наличием маршрута, по которому осуществляются пассажирские перевозки, в реестре маршрутов, размещаемом на официальном сайте уполномоченного органа местного самоуправления в информационно-телекоммуникационной сети «Интернет», наличием муниципального контракта, карты маршрута регулярных перевозок, если перевозки осуществляются по регулируемым тарифам (перевозки, осуществляемые с применением тарифов, установленных органами местного самоуправления) и свидетельства и карты маршрута регулярных перевозок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>, если перевозки осуществляются по нерегулируемым тарифам (перевозки, осуществляемые с применением тарифов, установленных перевозчиком).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Нелегальные перевозки не обеспечивают безопасность пассажиров, так как водители не соблюдают режим труда и отдыха (на транспортных средствах могут быть не установлены либо выключены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), отсутствуют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водителей, не проводится регулярная проверка технического состояния транспортных средств и не обеспечивается страхование гражданской ответственности владельцев транспортных средств.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Осуществление пассажирских перевозок в отсутствие карты маршрута влечет за собой в соответствии с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.4 ст. 11.33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РФ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проведения обязательного медицинского освидетельствования водителей транспортных средств, либо обязательных предварительных, периодических,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медицинских осмотров в соответствии со ст. 11.32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РФ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000000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Управление автобусом, не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технический осмотр, влечет наложение административного штрафа в размере от пятисот до восьмисот рублей (ч.2 ст. 12.1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 здравоохранении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41 Конституции РФ, ст. 18 Федерального закона от 21.11.2011 № 323-ФЗ «Об основах охраны здоровья граждан в Российской Федерации» каждый имеет право на охрану здоровья, что подразумевает под собой реализацию доступных лекарственных препаратов, а также оказание доступной и качественной медицинской помощи.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Пациент имеет право на облегчение боли, связанной с доступными методами и лекарственными препаратами.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, включенными в перечень жизненно необходимых и важнейших лекарственных препаратов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Вместе с тем, в медицинских учреждениях, в том числе Пермского края, распространена практика покупки лекарственных средств пациентами, находящимися на стационарном лечении, в целях своего лечения за собственные средства, что является недопустимым, так как лекарственное обеспечение при лечении в стационарных условиях - обязанность медицинской организации.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В случае приобретения того или иного лекарственного препарата за свой счет, и при отсутствии его в момент лечения в медицинской организации, прокуратура района разъясняет, что граждане имеют право обратиться в суд с требованиями о взыскании расходов на приобретение лекарственных средств, а также рекомендует обратиться в органы прокуратуры для проведения соответствующей проверки.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Кроме того, в силу положений вышеназванного Федерального закона № 323-ФЗ определенным группам населения, а также гражданам с определенными категориями заболеваний, перечень которых утвержден Постановлением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лекарственные средства и изделия медицинского назначения при амбулаторном лечении отпускаются по рецептам врачей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бесплатно (например, участникам гражданской и Великой Отечественной войн; героям Советского Союза, Российской Федерации; ветеранам боевых действий на территориях других государств; </w:t>
      </w:r>
      <w:r w:rsidRPr="00C6111B">
        <w:rPr>
          <w:rFonts w:ascii="Times New Roman" w:hAnsi="Times New Roman" w:cs="Times New Roman"/>
          <w:sz w:val="28"/>
          <w:szCs w:val="28"/>
        </w:rPr>
        <w:lastRenderedPageBreak/>
        <w:t xml:space="preserve">детям первых трех лет жизни, а также детям из многодетных семей в возрасте до 6 лет; инвалидам I группы, неработающим инвалидам II группы, детям - инвалидам в возрасте до 18 лет;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чернобыльской катастрофы; гражданам с заболеваниями - детский церебральный паралич, СПИД, ВИЧ, онкологическими заболеваниями, туберкулезом, бронхиальной астмой, диабетом, шизофренией и эпилепсией) или с пятидесятипроцентной скидкой (пенсионерам, получающим пенсию по старости, инвалидности или по случаю потери кормильца в минимальных размерах; работающим инвалидам II группы, инвалидам III группы, признанным в установленном порядке безработными).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 порядке осмотра счетчиков электроэнергии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 xml:space="preserve">В соответствии с ч. 1 ст. 539 Гражданского кодекса РФ по договору энергоснабжения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 xml:space="preserve">В соответствии с абзацем 2 п. 172 Основных положений функционирования розничных рынков электрической энергии, утвержденных Постановлением Правительства Российской Федерации от 04 мая 2012 года № 442 (далее - Основные положения), проверки расчетных приборов учета включают, в том числе, визуальный осмотр схемы подключения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устройств и схем соединения приборов учета, проверку состояния прибора учета, наличия и сохранности контрольных пломб и знаков визуального контроля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>, а также снятие показаний приборов учета.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Согласно пункту 176 Основных положений результаты проверки приборов учета сетевая организация оформляет актом проверки расчетных приборов учета, который подписывается сетевой организацией и лицами, принимавшими участие в проверке. При отказе лица, принимавшего участие в проверке, от подписания акта, в нем указывается причина такого отказа.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 xml:space="preserve">Результатом проверки является заключение о пригодности расчетного прибора учета для осуществления расчетов за потребленную (на розничных рынках электрическую энергию, о соответствии (несоответствии) расчетного прибора учета требованиям, предъявляемым к такому прибору учета, а также о наличии (об отсутствии)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потребления или о признании расчетного прибора учета утраченным.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lastRenderedPageBreak/>
        <w:t>Пунктом 177 Основных положений предусмотрена обязанность сетевой организации за 5 рабочих дней до планируемой даты проведения проверки уведомить потребителя о дате и времени проведения такой проверки, а также о последствиях ее не допуска к расчетным приборам учета.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По смыслу пункта 177 Основных положений уведомление потребителя необходимо для обеспечения доступа представителей гарантирующего поставщика и сетевой организации к приборам учета потребителя либо схеме учета потребителя.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Таким образом, в отсутствие вышеназванного уведомления сотрудники электросетей могут пройти в домовладение для проверки прибора учета только согласия пользователя жилого помещения.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В случае двукратного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потребителем работника сетевой организации к расчетным приборам учета в согласованные дату и время, расчет, расчет электроэнергии производится по специальным правилам, исходя из почасовых нормативов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жестокое обращение с детьми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 установлена уголовная ответственность (ст. 156 Уголовного кодекса Российской Федерации) и несут ее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безразличное, пренебрежительное отношение к его потребностям, интересам, здоровью, безопасности, учебе, досугу, занятиям, времяпрепровождению.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несовершеннолетнего, но и в применении недопустимых способов воспитания (в грубом, пренебрежительном, безнравственном, унижающем </w:t>
      </w:r>
      <w:r w:rsidRPr="00C6111B">
        <w:rPr>
          <w:rFonts w:ascii="Times New Roman" w:hAnsi="Times New Roman" w:cs="Times New Roman"/>
          <w:sz w:val="28"/>
          <w:szCs w:val="28"/>
        </w:rPr>
        <w:lastRenderedPageBreak/>
        <w:t>человеческое достоинство обращении с детьми, оскорблении или эксплуатации детей).</w:t>
      </w:r>
      <w:proofErr w:type="gramEnd"/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Судебная практика свидетельствует о том, что наиболее часто результатом жестокого обращения с детьми является причинение им телесных повреждений.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Собственники земельных участков обязаны соблюдать пожарную безопасность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 1 января 2019 года в постановление Правительства Российской Федерации от 25.05.2012 № 390 «О противопожарном режиме» внесены изменения, согласно которым в целях обеспечения пожарной безопасности правообладатели земельных участков, расположенных в границах населенных пунктов, территории садоводства или огородничества, обязаны производить регулярную уборку мусора и покос травы.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За нарушение требований пожарной безопасности статьей 20.4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ответственность. Для граждан в размере от 2000 до 3000 руб., на должностных лиц от 6000 до 15000 руб.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Средства материнского капитала запретили использовать для покупки недвижимости непригодной для проживания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Федеральным законом от 18.03.2019 № 37-ФЗ внесены изменения в Федеральный закон от 29.12.2006 № 256-ФЗ «О дополнительных мерах государственной поддержки семей, имеющих детей» (далее - Закон).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Средства материнского капитала запретили использовать для покупки объектов недвижимости, признанных непригодными для проживания.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То же касается помещений в многоквартирных домах, признанных аварийными и подлежащими сносу или реконструкции.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lastRenderedPageBreak/>
        <w:t>Обязанность установления данного факта возложена частью 1.3, которой дополнена статьи 8 Закона, на Пенсионный фонд Российской Федерации и его территориальные органы.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Перечень организаций, в которых можно брать ипотеку с погашением средствами материнского капитала, сделали закрытым, внеся изменения в пункт 4 части 7 статьи 10 Закона.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>Ф» (ранее ОАО «Агентство по ипотечному жилищному кредитованию»).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Федеральный закон вступил в силу с 29.03.2019.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С 1 июня отменен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внутрироссийский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роуминг при использовании услуг мобильной связи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1 июня 2019 года вступил в силу Федеральный закон от 27.12.2018      № 527-ФЗ «О внесении изменений в статьи 46 и 54 Федерального закона «О связи».</w:t>
      </w:r>
    </w:p>
    <w:p w:rsidR="006714E1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BCE" w:rsidRPr="00C6111B" w:rsidRDefault="006714E1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того, находится ли абонент в пределах территории субъекта Российской Федерации, указанной в решении о выделении такому оператору связи ресурса нумерации, включающего в себя выделенный абоненту абонентский номер, или за пределами указанной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lastRenderedPageBreak/>
        <w:t>Усилена ответственность за нарушение правил охраны водных объектов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Федеральным законом от 15.04.2019 № 57-ФЗ внесены изменения в Кодекс Российской Федерации об административных правонарушениях.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Усилена административная ответственность за административные правонарушения, предусмотренные частями 1, 3–5 статьи 8.13 (нарушение правил охраны водных объектов), частью 2 статьи 8.14 (нарушение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либо при строительстве или эксплуатации дамб, портовых и иных сооружений), а также статьёй 8.15 (нарушение правил эксплуатации водохозяйственных или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сооружений и устройств) Кодекса Российской Федерации об административных правонарушениях.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за нарушение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их загрязнение или другие вредные явления, должностных лиц будут штрафовать на сумму от 10 тысяч до 20 тысяч рублей, юридических лиц – на сумму от 80 тысяч до 100 тысяч рублей.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За нарушение требований к охране водных объектов, которое может повлечь их загрязнение, засорение и (или) истощение, должностных лиц станут наказывать штрафом в размере от 40 тысяч до 50 тысяч рублей, юридических лиц – в размере от 100 тысяч до 150 тысяч рублей.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Изменения вступили в силу 26 апреля 2019 года.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 налоговых льготах многодетным семьям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 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</w:t>
      </w:r>
      <w:r w:rsidRPr="00C6111B">
        <w:rPr>
          <w:rFonts w:ascii="Times New Roman" w:hAnsi="Times New Roman" w:cs="Times New Roman"/>
          <w:sz w:val="28"/>
          <w:szCs w:val="28"/>
        </w:rPr>
        <w:lastRenderedPageBreak/>
        <w:t>имущество физических лиц в случае разрушения объекта, транспортного налога в случае угона автомобиля.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</w:p>
    <w:p w:rsidR="007A1BCE" w:rsidRPr="00C6111B" w:rsidRDefault="007A1BCE" w:rsidP="00C611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Указанные изменения вступили в силу, за исключением некоторых положений, для которых установлены отдельные сроки.</w:t>
      </w:r>
    </w:p>
    <w:sectPr w:rsidR="007A1BCE" w:rsidRPr="00C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14E1"/>
    <w:rsid w:val="006714E1"/>
    <w:rsid w:val="007A1BCE"/>
    <w:rsid w:val="00C6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5200">
              <w:marLeft w:val="0"/>
              <w:marRight w:val="0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Konoreva</dc:creator>
  <cp:keywords/>
  <dc:description/>
  <cp:lastModifiedBy>Elena Konoreva</cp:lastModifiedBy>
  <cp:revision>2</cp:revision>
  <dcterms:created xsi:type="dcterms:W3CDTF">2019-06-17T03:39:00Z</dcterms:created>
  <dcterms:modified xsi:type="dcterms:W3CDTF">2019-06-17T04:03:00Z</dcterms:modified>
</cp:coreProperties>
</file>