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rFonts w:ascii="PT Astra Serif" w:hAnsi="PT Astra Serif"/>
          <w:b w:val="false"/>
          <w:b w:val="false"/>
          <w:bCs w:val="false"/>
          <w:sz w:val="28"/>
          <w:szCs w:val="28"/>
        </w:rPr>
      </w:pPr>
      <w:r>
        <w:rPr>
          <w:rFonts w:ascii="PT Astra Serif" w:hAnsi="PT Astra Serif"/>
          <w:b w:val="false"/>
          <w:bCs w:val="false"/>
          <w:sz w:val="28"/>
          <w:szCs w:val="28"/>
        </w:rPr>
        <w:t xml:space="preserve">Приложение </w:t>
      </w:r>
    </w:p>
    <w:p>
      <w:pPr>
        <w:pStyle w:val="Normal"/>
        <w:jc w:val="center"/>
        <w:rPr>
          <w:rFonts w:ascii="PT Astra Serif" w:hAnsi="PT Astra Serif"/>
          <w:b w:val="false"/>
          <w:b w:val="false"/>
          <w:bCs w:val="false"/>
          <w:sz w:val="28"/>
          <w:szCs w:val="28"/>
        </w:rPr>
      </w:pPr>
      <w:r>
        <w:rPr>
          <w:rFonts w:ascii="PT Astra Serif" w:hAnsi="PT Astra Serif"/>
          <w:b w:val="false"/>
          <w:bCs w:val="false"/>
          <w:sz w:val="28"/>
          <w:szCs w:val="28"/>
        </w:rPr>
      </w:r>
    </w:p>
    <w:p>
      <w:pPr>
        <w:pStyle w:val="Normal"/>
        <w:spacing w:lineRule="auto" w:line="240"/>
        <w:jc w:val="center"/>
        <w:rPr>
          <w:rFonts w:ascii="PT Astra Serif" w:hAnsi="PT Astra Serif"/>
          <w:b/>
          <w:b/>
          <w:bCs/>
          <w:sz w:val="28"/>
          <w:szCs w:val="28"/>
        </w:rPr>
      </w:pPr>
      <w:r>
        <w:rPr>
          <w:rFonts w:ascii="PT Astra Serif" w:hAnsi="PT Astra Serif"/>
          <w:b/>
          <w:bCs/>
          <w:sz w:val="28"/>
          <w:szCs w:val="28"/>
        </w:rPr>
        <w:t xml:space="preserve">Рекомендации </w:t>
      </w:r>
    </w:p>
    <w:p>
      <w:pPr>
        <w:pStyle w:val="Normal"/>
        <w:spacing w:lineRule="auto" w:line="240"/>
        <w:jc w:val="center"/>
        <w:rPr>
          <w:rFonts w:ascii="PT Astra Serif" w:hAnsi="PT Astra Serif"/>
          <w:b/>
          <w:b/>
          <w:bCs/>
          <w:sz w:val="28"/>
          <w:szCs w:val="28"/>
        </w:rPr>
      </w:pPr>
      <w:r>
        <w:rPr>
          <w:rFonts w:ascii="PT Astra Serif" w:hAnsi="PT Astra Serif"/>
          <w:b/>
          <w:bCs/>
          <w:sz w:val="28"/>
          <w:szCs w:val="28"/>
        </w:rPr>
        <w:t xml:space="preserve">по соблюдению государственными (муниципальными) </w:t>
      </w:r>
    </w:p>
    <w:p>
      <w:pPr>
        <w:pStyle w:val="Normal"/>
        <w:spacing w:lineRule="auto" w:line="240"/>
        <w:jc w:val="center"/>
        <w:rPr>
          <w:rFonts w:ascii="PT Astra Serif" w:hAnsi="PT Astra Serif"/>
          <w:b/>
          <w:b/>
          <w:bCs/>
          <w:sz w:val="28"/>
          <w:szCs w:val="28"/>
        </w:rPr>
      </w:pPr>
      <w:r>
        <w:rPr>
          <w:rFonts w:ascii="PT Astra Serif" w:hAnsi="PT Astra Serif"/>
          <w:b/>
          <w:bCs/>
          <w:sz w:val="28"/>
          <w:szCs w:val="28"/>
        </w:rPr>
        <w:t xml:space="preserve">служащими норм этики в целях противодействия коррупции </w:t>
      </w:r>
    </w:p>
    <w:p>
      <w:pPr>
        <w:pStyle w:val="Normal"/>
        <w:spacing w:lineRule="auto" w:line="240"/>
        <w:jc w:val="center"/>
        <w:rPr>
          <w:b/>
          <w:b/>
          <w:bCs/>
        </w:rPr>
      </w:pPr>
      <w:r>
        <w:rPr>
          <w:rFonts w:ascii="PT Astra Serif" w:hAnsi="PT Astra Serif"/>
          <w:b/>
          <w:bCs/>
          <w:sz w:val="28"/>
          <w:szCs w:val="28"/>
        </w:rPr>
        <w:t>и иным правонарушениям</w:t>
      </w:r>
    </w:p>
    <w:p>
      <w:pPr>
        <w:pStyle w:val="Normal"/>
        <w:spacing w:lineRule="auto" w:line="240"/>
        <w:jc w:val="center"/>
        <w:rPr>
          <w:bCs/>
          <w:szCs w:val="24"/>
        </w:rPr>
      </w:pPr>
      <w:r>
        <w:rPr>
          <w:rFonts w:ascii="PT Astra Serif" w:hAnsi="PT Astra Serif"/>
          <w:b w:val="false"/>
          <w:bCs w:val="false"/>
          <w:sz w:val="28"/>
          <w:szCs w:val="28"/>
        </w:rPr>
        <w:t xml:space="preserve"> </w:t>
      </w:r>
    </w:p>
    <w:p>
      <w:pPr>
        <w:pStyle w:val="Normal"/>
        <w:spacing w:lineRule="auto" w:line="240"/>
        <w:ind w:firstLine="709"/>
        <w:jc w:val="both"/>
        <w:rPr>
          <w:bCs/>
        </w:rPr>
      </w:pPr>
      <w:r>
        <w:rPr>
          <w:rFonts w:ascii="PT Astra Serif" w:hAnsi="PT Astra Serif"/>
          <w:b w:val="false"/>
          <w:bCs w:val="false"/>
          <w:sz w:val="28"/>
          <w:szCs w:val="28"/>
        </w:rPr>
        <w:t>Особый публично-правовой статус государственных (муниципальных) служащих (далее – служащие), обусловленный исполнением полномочий государственных органов и органов местного самоуправления</w:t>
        <w:br/>
        <w:t xml:space="preserve">(далее – государственные (муниципальные) органы), налагает на данную категорию лиц ряд специальных установленных федеральными законами ограничений, запретов и требований. Принципы служебного поведения государственных служащих также содержатся в Указе Президента Российской Федерации от 12 августа 2002 г. № 885 и Типовом кодексе этики и служебного поведения государственных служащих Российской Федерации и муниципальных служащих, одобренном решением президиума Совета при Президенте Российской Федерации по противодействию коррупции от 23 декабря 2010 г. (протокол № 21). </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Вне зависимости от места и времени служащим необходимо учитывать, что их поведение должно всецело соответствовать ограничениям, запретам и требованиям, и не допускать поступков, способных вызвать сомнения в их честности и порядочности.</w:t>
      </w:r>
    </w:p>
    <w:p>
      <w:pPr>
        <w:pStyle w:val="Style27"/>
        <w:spacing w:lineRule="auto" w:line="240"/>
        <w:ind w:firstLine="709"/>
        <w:jc w:val="both"/>
        <w:rPr>
          <w:sz w:val="28"/>
          <w:szCs w:val="28"/>
        </w:rPr>
      </w:pPr>
      <w:r>
        <w:rPr>
          <w:rFonts w:ascii="PT Astra Serif" w:hAnsi="PT Astra Serif"/>
          <w:b w:val="false"/>
          <w:bCs w:val="false"/>
          <w:sz w:val="28"/>
          <w:szCs w:val="28"/>
        </w:rPr>
        <w:t xml:space="preserve">Профессиональная деятельность служащих, замещающих руководящие должности, как правило, носит публичный характер, такие служащие легко узнаваемы, непосредственно ассоциируются с государственными (муниципальными) органами, в связи с чем, обращают на себя внимание общества, включая средства массовой информации, в том числе и во внеслужебное время. </w:t>
      </w:r>
    </w:p>
    <w:p>
      <w:pPr>
        <w:pStyle w:val="Style27"/>
        <w:spacing w:lineRule="auto" w:line="240"/>
        <w:ind w:firstLine="709"/>
        <w:jc w:val="both"/>
        <w:rPr>
          <w:sz w:val="28"/>
          <w:szCs w:val="28"/>
        </w:rPr>
      </w:pPr>
      <w:r>
        <w:rPr>
          <w:rFonts w:ascii="PT Astra Serif" w:hAnsi="PT Astra Serif"/>
          <w:b w:val="false"/>
          <w:bCs w:val="false"/>
          <w:sz w:val="28"/>
          <w:szCs w:val="28"/>
        </w:rPr>
        <w:t>Служащие, замещающие руководящие должности, своим личным примером формируют правила поведения подчиненных.</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Вне зависимости от занимаемой должности необходимо помнить, что служащий не должен совершать поступки, порочащие его честь и достоинство.</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Служащему рекомендуется до совершения какого-либо поступка задуматься о том, как это будет воспринято коллегами по службе, и прислушаться к их профессиональным советам.</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При размещении информации в информационно-телекоммуникационной сети «Интернет» (далее – сеть Интернет), в том числе в социальных медиа, в личных целях необходимо подходить к данному вопросу осознанно и ответственно. Недопустимо размещение служащим изображений, текстовых, аудито-, видеоматериалов, прямо или косвенно указывающих на его должностной статус, если данное действие не связано с исполнением служебных обязанностей.</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xml:space="preserve">Важно помнить, что информация, опубликованная в сети Интернет, может оставаться открытой для доступа неограниченное количество времени и неограниченному кругу лиц. </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Предоставление и публичное размещение информации от имени государственного (муниципального) органа имеют право осуществлять только лица, уполномоченные на размещение и предоставление такой информации.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Служащий должен помнить, что его неэтичный поступок, в том числе совершенный во внеслужебное время, может повлечь причинение вреда его репутации, авторитету государственного (муниципального) органа и в целом государственной (муниципальной) службе.</w:t>
      </w:r>
    </w:p>
    <w:p>
      <w:pPr>
        <w:pStyle w:val="Normal"/>
        <w:spacing w:lineRule="auto" w:line="240"/>
        <w:ind w:firstLine="709"/>
        <w:jc w:val="both"/>
        <w:rPr>
          <w:b/>
          <w:b/>
        </w:rPr>
      </w:pPr>
      <w:r>
        <w:rPr>
          <w:rFonts w:ascii="PT Astra Serif" w:hAnsi="PT Astra Serif"/>
          <w:b w:val="false"/>
          <w:bCs w:val="false"/>
          <w:sz w:val="28"/>
          <w:szCs w:val="28"/>
        </w:rPr>
        <w:t>В целях противодействия коррупции и иным правонарушениям служащему рекомендуется руководствоваться в своем поведении при исполнении должностных обязанностей следующими основополагающими морально-этическими ценностями: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честность;</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беспристрастность.</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Служащий при исполнении должностных обязанностей и во внеслужебных отношениях должен не допускать каких-либо поступков, способных вызвать сомнения в порядочности его действий и тем самым подорвать доверие общества к деятельности государственных (муниципальных) органов.</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xml:space="preserve">Неэтичный поступок служащего, в том числе совершенный во внеслужебное время, в случае если он влечет причинение вреда его репутации, авторитету государственного (муниципального) органа и в целом государственной (муниципальной) службе, может стать предметом рассмотрения комиссии по соблюдению требований к служебному поведению государственных (муниципальных) служащих и урегулированию конфликта интересов и повлечь наступление ответственности, предусмотренной законодательством Российской Федерации, если данный поступок был связан с использованием его должностного статуса и (или) является нарушением установленных ограничений, запретов и требований. </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С учетом анализа правоприменительной практики, включая работу комиссий по соблюдению требований к служебному поведению государственных (муниципальных) служащих и урегулированию конфликта интересов, служащим рекомендуется исключить возникновение следующих неэтичных поступков.</w:t>
      </w:r>
    </w:p>
    <w:p>
      <w:pPr>
        <w:pStyle w:val="Normal"/>
        <w:spacing w:lineRule="auto" w:line="240"/>
        <w:ind w:firstLine="709"/>
        <w:jc w:val="both"/>
        <w:rPr>
          <w:b/>
          <w:b/>
        </w:rPr>
      </w:pPr>
      <w:r>
        <w:rPr>
          <w:rFonts w:ascii="PT Astra Serif" w:hAnsi="PT Astra Serif"/>
          <w:b w:val="false"/>
          <w:bCs w:val="false"/>
          <w:sz w:val="28"/>
          <w:szCs w:val="28"/>
        </w:rPr>
        <w:t>1. Внеслужебное общение с заинтересованными лицами.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Личные дружеские взаимоотношения, включая встречи в свободное от работы время, с лицами, в отношении которых служащий непосредственно осуществляет функции государственного (муниципального)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выдача лицензий и разрешений и другие функции) способны вызвать обоснованные подозрения у окружающих в необъективности решений, принимаемых в пользу данных лиц.</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Служащему не рекомендуется получать подарки или какие-либо иные вознаграждения, в том числе на личных торжественных мероприятиях, от своих друзей или связанных с ними людей, которые одновременно являются лицами, в отношении которых служащий непосредственно осуществляет функции государственного (муниципального) управления. Прием таких подарков может его скомпрометировать и повлечь возникновение сомнений в его честности, беспристрастности и объективности.</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Участие в развлекательных мероприятиях, отдых, в том числе за рубежом, в компании лиц, в отношении которых служащий осуществляет функции государственного (муниципального) управления, способны скомпрометировать служащего.</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Данные рекомендации также распространяются на ситуации, при которых функции государственного (муниципального) управления в отношении лиц, с которыми служащий состоит в дружеских взаимоотношениях, осуществляют подчиненные или подконтрольные служащему должностные лица, в случае если можно сделать вывод, что их действия осуществляются в интересах служащего.</w:t>
      </w:r>
    </w:p>
    <w:p>
      <w:pPr>
        <w:pStyle w:val="Normal"/>
        <w:spacing w:lineRule="auto" w:line="240"/>
        <w:ind w:firstLine="709"/>
        <w:jc w:val="both"/>
        <w:rPr>
          <w:b/>
          <w:b/>
        </w:rPr>
      </w:pPr>
      <w:r>
        <w:rPr>
          <w:rFonts w:ascii="PT Astra Serif" w:hAnsi="PT Astra Serif"/>
          <w:b w:val="false"/>
          <w:bCs w:val="false"/>
          <w:sz w:val="28"/>
          <w:szCs w:val="28"/>
        </w:rPr>
        <w:t>2. Использование должностного статуса для получения личных преимуществ.</w:t>
      </w:r>
    </w:p>
    <w:p>
      <w:pPr>
        <w:pStyle w:val="ConsPlusNormal"/>
        <w:spacing w:lineRule="auto" w:line="240"/>
        <w:ind w:firstLine="709"/>
        <w:jc w:val="both"/>
        <w:rPr>
          <w:szCs w:val="28"/>
        </w:rPr>
      </w:pPr>
      <w:r>
        <w:rPr>
          <w:rFonts w:ascii="PT Astra Serif" w:hAnsi="PT Astra Serif"/>
          <w:b w:val="false"/>
          <w:bCs w:val="false"/>
          <w:sz w:val="28"/>
          <w:szCs w:val="28"/>
        </w:rPr>
        <w:t>Служащий не должен использовать служебное положение для оказания влияния на деятельность государственных (муниципальных) органов, организаций, должностных лиц и граждан при решении вопросов личного характера как для себя, так и в интересах иных лиц.</w:t>
      </w:r>
    </w:p>
    <w:p>
      <w:pPr>
        <w:pStyle w:val="Normal"/>
        <w:spacing w:lineRule="auto" w:line="240"/>
        <w:ind w:firstLine="708"/>
        <w:jc w:val="both"/>
        <w:rPr>
          <w:rFonts w:ascii="PT Astra Serif" w:hAnsi="PT Astra Serif"/>
          <w:b w:val="false"/>
          <w:b w:val="false"/>
          <w:bCs w:val="false"/>
          <w:sz w:val="28"/>
          <w:szCs w:val="28"/>
        </w:rPr>
      </w:pPr>
      <w:r>
        <w:rPr>
          <w:rFonts w:ascii="PT Astra Serif" w:hAnsi="PT Astra Serif"/>
          <w:b w:val="false"/>
          <w:bCs w:val="false"/>
          <w:sz w:val="28"/>
          <w:szCs w:val="28"/>
        </w:rPr>
        <w:t xml:space="preserve">Служащему не допускается использование служебного удостоверения и иных служебных средств, в том числе, служебного транспорта, а также служебной информации для получения личных преимуществ для себя или иных лиц (например, при взаимодействии с сотрудниками Госавтоинспекции, получении государственных (муниципальных) услуг, преодоления очередей и т.д.). </w:t>
      </w:r>
    </w:p>
    <w:p>
      <w:pPr>
        <w:pStyle w:val="ConsPlusNormal"/>
        <w:spacing w:lineRule="auto" w:line="240"/>
        <w:ind w:firstLine="709"/>
        <w:jc w:val="both"/>
        <w:rPr>
          <w:bCs w:val="false"/>
          <w:szCs w:val="28"/>
        </w:rPr>
      </w:pPr>
      <w:r>
        <w:rPr>
          <w:rFonts w:ascii="PT Astra Serif" w:hAnsi="PT Astra Serif"/>
          <w:b w:val="false"/>
          <w:bCs w:val="false"/>
          <w:sz w:val="28"/>
          <w:szCs w:val="28"/>
        </w:rPr>
        <w:t>Неэтичным для служащего при решении вопросов личного характера для себя или в интересах иных лиц 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pPr>
        <w:pStyle w:val="ConsPlusNormal"/>
        <w:spacing w:lineRule="auto" w:line="240"/>
        <w:ind w:firstLine="709"/>
        <w:jc w:val="both"/>
        <w:rPr>
          <w:bCs w:val="false"/>
        </w:rPr>
      </w:pPr>
      <w:r>
        <w:rPr>
          <w:rFonts w:ascii="PT Astra Serif" w:hAnsi="PT Astra Serif"/>
          <w:b w:val="false"/>
          <w:bCs w:val="false"/>
          <w:sz w:val="28"/>
          <w:szCs w:val="28"/>
        </w:rPr>
        <w:t>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pPr>
        <w:pStyle w:val="Normal"/>
        <w:spacing w:lineRule="auto" w:line="240"/>
        <w:ind w:firstLine="709"/>
        <w:jc w:val="both"/>
        <w:rPr>
          <w:bCs/>
        </w:rPr>
      </w:pPr>
      <w:r>
        <w:rPr>
          <w:rFonts w:ascii="PT Astra Serif" w:hAnsi="PT Astra Serif"/>
          <w:b w:val="false"/>
          <w:bCs w:val="false"/>
          <w:sz w:val="28"/>
          <w:szCs w:val="28"/>
        </w:rPr>
        <w:t>Недопустимым является использование служащим своего должностного статуса для целей, не связанных с осуществлением служебной деятельности, в том числе для рекламы товаров и услуг.</w:t>
      </w:r>
    </w:p>
    <w:p>
      <w:pPr>
        <w:pStyle w:val="Normal"/>
        <w:spacing w:lineRule="auto" w:line="240"/>
        <w:ind w:firstLine="709"/>
        <w:jc w:val="both"/>
        <w:rPr>
          <w:strike/>
        </w:rPr>
      </w:pPr>
      <w:r>
        <w:rPr>
          <w:rFonts w:ascii="PT Astra Serif" w:hAnsi="PT Astra Serif"/>
          <w:b w:val="false"/>
          <w:bCs w:val="false"/>
          <w:sz w:val="28"/>
          <w:szCs w:val="28"/>
        </w:rPr>
        <w:t>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 иного обеспечения, другого государственного (муниципального) имущества, включая передачу их третьим лицам для целей, не связанных с осуществлением должностных обязанностей.</w:t>
      </w:r>
    </w:p>
    <w:p>
      <w:pPr>
        <w:pStyle w:val="Normal"/>
        <w:spacing w:lineRule="auto" w:line="240"/>
        <w:ind w:firstLine="709"/>
        <w:jc w:val="both"/>
        <w:rPr>
          <w:b/>
          <w:b/>
        </w:rPr>
      </w:pPr>
      <w:r>
        <w:rPr>
          <w:rFonts w:ascii="PT Astra Serif" w:hAnsi="PT Astra Serif"/>
          <w:b w:val="false"/>
          <w:bCs w:val="false"/>
          <w:sz w:val="28"/>
          <w:szCs w:val="28"/>
        </w:rPr>
        <w:t>3. Использование имущества, несопоставимого с доходами.</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xml:space="preserve">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 поскольку получение подарков в виде любой материальной выгоды служащему запрещено. </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В служебном поведении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pPr>
        <w:pStyle w:val="ConsPlus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r>
    </w:p>
    <w:p>
      <w:pPr>
        <w:pStyle w:val="ConsPlusNormal"/>
        <w:spacing w:lineRule="auto" w:line="240"/>
        <w:ind w:firstLine="709"/>
        <w:jc w:val="both"/>
        <w:rPr>
          <w:b/>
          <w:b/>
          <w:szCs w:val="28"/>
        </w:rPr>
      </w:pPr>
      <w:r>
        <w:rPr>
          <w:rFonts w:ascii="PT Astra Serif" w:hAnsi="PT Astra Serif"/>
          <w:b w:val="false"/>
          <w:bCs w:val="false"/>
          <w:sz w:val="28"/>
          <w:szCs w:val="28"/>
        </w:rPr>
        <w:t>Разъяснительная работа.</w:t>
      </w:r>
    </w:p>
    <w:p>
      <w:pPr>
        <w:pStyle w:val="Normal"/>
        <w:spacing w:lineRule="auto" w:line="240"/>
        <w:ind w:firstLine="709"/>
        <w:jc w:val="both"/>
        <w:rPr>
          <w:bCs/>
        </w:rPr>
      </w:pPr>
      <w:r>
        <w:rPr>
          <w:rFonts w:ascii="PT Astra Serif" w:hAnsi="PT Astra Serif"/>
          <w:b w:val="false"/>
          <w:bCs w:val="false"/>
          <w:sz w:val="28"/>
          <w:szCs w:val="28"/>
        </w:rPr>
        <w:t>Государственным (муниципальным) органам рекомендуется на системной основе проводить комплекс разъяснительных мероприятий, направленных на повышение осведомленности служащих, граждан, поступающих на государственную (муниципальную) службу, иных лиц, обращающихся за получением государственных (муниципальных) услуг или взаимодействующих по каким-либо вопросам с государственными (муниципальными) органами, о принципах служебного поведения, которыми должны руководствоваться служащие. 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 размещенных на официальном сайте.</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r>
    </w:p>
    <w:p>
      <w:pPr>
        <w:pStyle w:val="Normal"/>
        <w:spacing w:lineRule="auto" w:line="240"/>
        <w:ind w:firstLine="709"/>
        <w:jc w:val="both"/>
        <w:rPr>
          <w:b/>
          <w:b/>
        </w:rPr>
      </w:pPr>
      <w:r>
        <w:rPr>
          <w:rFonts w:ascii="PT Astra Serif" w:hAnsi="PT Astra Serif"/>
          <w:b w:val="false"/>
          <w:bCs w:val="false"/>
          <w:sz w:val="28"/>
          <w:szCs w:val="28"/>
        </w:rPr>
        <w:t xml:space="preserve">Применение мер ответственности. </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Неэтичный поступок служащего может быть рассмотрен на заседании комиссии по соблюдению требований к служебному поведению служащих и урегулированию конфликта интересов. По итогам рассмотрения данного вопроса руководителю государственного (муниципального) органа может быть рекомендовано:</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указать служащему на недопустимость совершения неэтичного поступка;</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применить к служащему конкретную меру ответственности, предусмотренную законодательством о государственной (муниципальной) службе и о противодействии коррупции.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Указание служащему на недопустимость совершения неэтичного поступка может выражаться в:</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устном замечании;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предупреждении о недопустимости совершения неэтичного поступка;</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требовании о публичном извинении.</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 xml:space="preserve">По решению руководителя государственного (муниципального) органа указание на недопустимость совершения неэтичного поступка может быть совершено в присутствии иных служащих. </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Меры дисциплинарной ответственности, предусмотренные федеральными законами, должны применяться к служащему в случае, если совершение неэтичного поступка повлекло нарушение установленных ограничений, запретов и требований.</w:t>
      </w:r>
    </w:p>
    <w:p>
      <w:pPr>
        <w:pStyle w:val="Normal"/>
        <w:spacing w:lineRule="auto" w:line="240"/>
        <w:ind w:firstLine="709"/>
        <w:jc w:val="both"/>
        <w:rPr>
          <w:bCs/>
        </w:rPr>
      </w:pPr>
      <w:r>
        <w:rPr>
          <w:rFonts w:ascii="PT Astra Serif" w:hAnsi="PT Astra Serif"/>
          <w:b w:val="false"/>
          <w:bCs w:val="false"/>
          <w:sz w:val="28"/>
          <w:szCs w:val="28"/>
        </w:rPr>
        <w:t>Строгость мер ответственности за совершенный служащим неэтичный поступок зависит от объема ущерба, причиненного репутации служащего или авторитету государственного (муниципального) органа. Принципиальное значение имеет анализ поступка служащего на предмет его соответствия ограничениям, запретам и требованиям к служебному поведению исходя из характера, места, времени и обстоятельств его совершения.</w:t>
      </w:r>
    </w:p>
    <w:p>
      <w:pPr>
        <w:pStyle w:val="Normal"/>
        <w:spacing w:lineRule="auto" w:line="240"/>
        <w:ind w:firstLine="709"/>
        <w:jc w:val="both"/>
        <w:rPr>
          <w:bCs/>
        </w:rPr>
      </w:pPr>
      <w:r>
        <w:rPr>
          <w:rFonts w:ascii="PT Astra Serif" w:hAnsi="PT Astra Serif"/>
          <w:b w:val="false"/>
          <w:bCs w:val="false"/>
          <w:sz w:val="28"/>
          <w:szCs w:val="28"/>
        </w:rPr>
        <w:t>Размер аудитории, которой стало известно о совершении служащим неэтичного поступка, увеличивает ущерб, причиненный репутации служащего, авторитету государственного (муниципального) органа.</w:t>
      </w:r>
    </w:p>
    <w:p>
      <w:pPr>
        <w:pStyle w:val="Normal"/>
        <w:spacing w:lineRule="auto" w:line="240"/>
        <w:ind w:firstLine="709"/>
        <w:jc w:val="both"/>
        <w:rPr>
          <w:rFonts w:ascii="PT Astra Serif" w:hAnsi="PT Astra Serif"/>
          <w:b w:val="false"/>
          <w:b w:val="false"/>
          <w:bCs w:val="false"/>
          <w:sz w:val="28"/>
          <w:szCs w:val="28"/>
        </w:rPr>
      </w:pPr>
      <w:r>
        <w:rPr>
          <w:rFonts w:ascii="PT Astra Serif" w:hAnsi="PT Astra Serif"/>
          <w:b w:val="false"/>
          <w:bCs w:val="false"/>
          <w:sz w:val="28"/>
          <w:szCs w:val="28"/>
        </w:rPr>
        <w:t>Государственным (муниципальным) органам рекомендуется учитывать наличие фактов совершения служащим неэтичного поступка, в том числе рассмотренного на заседании комиссии по соблюдению требований к служебному поведению служащих и урегулированию конфликта интересов, при принятии кадровых решений.</w:t>
      </w:r>
    </w:p>
    <w:sectPr>
      <w:headerReference w:type="default" r:id="rId2"/>
      <w:headerReference w:type="first" r:id="rId3"/>
      <w:type w:val="nextPage"/>
      <w:pgSz w:w="11906" w:h="16838"/>
      <w:pgMar w:left="1701" w:right="851" w:header="660" w:top="1221" w:footer="0" w:bottom="1134" w:gutter="0"/>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roman"/>
    <w:pitch w:val="variable"/>
  </w:font>
  <w:font w:name="PT Astra Serif">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5"/>
      <w:jc w:val="center"/>
      <w:rPr/>
    </w:pPr>
    <w:r>
      <w:rPr/>
      <w:fldChar w:fldCharType="begin"/>
    </w:r>
    <w:r>
      <w:rPr/>
      <w:instrText> PAGE </w:instrText>
    </w:r>
    <w:r>
      <w:rPr/>
      <w:fldChar w:fldCharType="separate"/>
    </w:r>
    <w:r>
      <w:rPr/>
      <w:t>5</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5"/>
      <w:jc w:val="center"/>
      <w:rPr/>
    </w:pPr>
    <w:r>
      <w:rPr/>
    </w:r>
  </w:p>
</w:hdr>
</file>

<file path=word/settings.xml><?xml version="1.0" encoding="utf-8"?>
<w:settings xmlns:w="http://schemas.openxmlformats.org/wordprocessingml/2006/main">
  <w:zoom w:percent="75"/>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szCs w:val="28"/>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f1f6c"/>
    <w:pPr>
      <w:widowControl/>
      <w:bidi w:val="0"/>
      <w:jc w:val="left"/>
    </w:pPr>
    <w:rPr>
      <w:rFonts w:ascii="Times New Roman" w:hAnsi="Times New Roman" w:eastAsia="Calibri" w:cs="Times New Roman" w:eastAsiaTheme="minorHAnsi"/>
      <w:color w:val="auto"/>
      <w:kern w:val="0"/>
      <w:sz w:val="28"/>
      <w:szCs w:val="28"/>
      <w:lang w:val="ru-RU" w:eastAsia="en-US" w:bidi="ar-SA"/>
    </w:rPr>
  </w:style>
  <w:style w:type="paragraph" w:styleId="1">
    <w:name w:val="Heading 1"/>
    <w:basedOn w:val="Normal"/>
    <w:link w:val="10"/>
    <w:uiPriority w:val="9"/>
    <w:qFormat/>
    <w:rsid w:val="00da011f"/>
    <w:pPr>
      <w:keepNext w:val="true"/>
      <w:keepLines/>
      <w:spacing w:before="480" w:after="0"/>
      <w:outlineLvl w:val="0"/>
    </w:pPr>
    <w:rPr>
      <w:rFonts w:ascii="Cambria" w:hAnsi="Cambria" w:eastAsia="" w:cs="" w:asciiTheme="majorHAnsi" w:cstheme="majorBidi" w:eastAsiaTheme="majorEastAsia" w:hAnsiTheme="majorHAnsi"/>
      <w:b/>
      <w:color w:val="365F91" w:themeColor="accent1" w:themeShade="bf"/>
    </w:rPr>
  </w:style>
  <w:style w:type="paragraph" w:styleId="2">
    <w:name w:val="Heading 2"/>
    <w:basedOn w:val="Normal"/>
    <w:link w:val="20"/>
    <w:uiPriority w:val="9"/>
    <w:qFormat/>
    <w:rsid w:val="00e9051b"/>
    <w:pPr>
      <w:spacing w:beforeAutospacing="1" w:afterAutospacing="1"/>
      <w:outlineLvl w:val="1"/>
    </w:pPr>
    <w:rPr>
      <w:rFonts w:eastAsia="Times New Roman"/>
      <w:b/>
      <w:sz w:val="36"/>
      <w:szCs w:val="36"/>
      <w:lang w:eastAsia="ru-RU"/>
    </w:rPr>
  </w:style>
  <w:style w:type="character" w:styleId="DefaultParagraphFont" w:default="1">
    <w:name w:val="Default Paragraph Font"/>
    <w:uiPriority w:val="1"/>
    <w:semiHidden/>
    <w:unhideWhenUsed/>
    <w:qFormat/>
    <w:rPr/>
  </w:style>
  <w:style w:type="character" w:styleId="Style12">
    <w:name w:val="Интернет-ссылка"/>
    <w:basedOn w:val="DefaultParagraphFont"/>
    <w:uiPriority w:val="99"/>
    <w:unhideWhenUsed/>
    <w:rsid w:val="005e7f68"/>
    <w:rPr>
      <w:color w:val="0000FF" w:themeColor="hyperlink"/>
      <w:u w:val="single"/>
    </w:rPr>
  </w:style>
  <w:style w:type="character" w:styleId="Style13" w:customStyle="1">
    <w:name w:val="Верхний колонтитул Знак"/>
    <w:basedOn w:val="DefaultParagraphFont"/>
    <w:link w:val="a4"/>
    <w:uiPriority w:val="99"/>
    <w:qFormat/>
    <w:rsid w:val="001f7781"/>
    <w:rPr/>
  </w:style>
  <w:style w:type="character" w:styleId="Style14" w:customStyle="1">
    <w:name w:val="Нижний колонтитул Знак"/>
    <w:basedOn w:val="DefaultParagraphFont"/>
    <w:link w:val="a6"/>
    <w:uiPriority w:val="99"/>
    <w:semiHidden/>
    <w:qFormat/>
    <w:rsid w:val="001f7781"/>
    <w:rPr/>
  </w:style>
  <w:style w:type="character" w:styleId="Style15" w:customStyle="1">
    <w:name w:val="Текст выноски Знак"/>
    <w:basedOn w:val="DefaultParagraphFont"/>
    <w:link w:val="a8"/>
    <w:uiPriority w:val="99"/>
    <w:semiHidden/>
    <w:qFormat/>
    <w:rsid w:val="005d639e"/>
    <w:rPr>
      <w:rFonts w:ascii="Tahoma" w:hAnsi="Tahoma" w:cs="Tahoma"/>
      <w:sz w:val="16"/>
      <w:szCs w:val="16"/>
    </w:rPr>
  </w:style>
  <w:style w:type="character" w:styleId="21" w:customStyle="1">
    <w:name w:val="Заголовок 2 Знак"/>
    <w:basedOn w:val="DefaultParagraphFont"/>
    <w:link w:val="2"/>
    <w:uiPriority w:val="9"/>
    <w:qFormat/>
    <w:rsid w:val="00e9051b"/>
    <w:rPr>
      <w:rFonts w:eastAsia="Times New Roman"/>
      <w:b/>
      <w:sz w:val="36"/>
      <w:szCs w:val="36"/>
      <w:lang w:eastAsia="ru-RU"/>
    </w:rPr>
  </w:style>
  <w:style w:type="character" w:styleId="Style16" w:customStyle="1">
    <w:name w:val="Текст сноски Знак"/>
    <w:basedOn w:val="DefaultParagraphFont"/>
    <w:link w:val="ab"/>
    <w:semiHidden/>
    <w:qFormat/>
    <w:rsid w:val="005f74a6"/>
    <w:rPr>
      <w:rFonts w:eastAsia="Times New Roman"/>
      <w:bCs w:val="false"/>
      <w:sz w:val="20"/>
      <w:szCs w:val="20"/>
      <w:lang w:eastAsia="ru-RU"/>
    </w:rPr>
  </w:style>
  <w:style w:type="character" w:styleId="11" w:customStyle="1">
    <w:name w:val="Заголовок 1 Знак"/>
    <w:basedOn w:val="DefaultParagraphFont"/>
    <w:link w:val="1"/>
    <w:uiPriority w:val="9"/>
    <w:qFormat/>
    <w:rsid w:val="00da011f"/>
    <w:rPr>
      <w:rFonts w:ascii="Cambria" w:hAnsi="Cambria" w:eastAsia="" w:cs="" w:asciiTheme="majorHAnsi" w:cstheme="majorBidi" w:eastAsiaTheme="majorEastAsia" w:hAnsiTheme="majorHAnsi"/>
      <w:b/>
      <w:bCs w:val="false"/>
      <w:color w:val="365F91" w:themeColor="accent1" w:themeShade="bf"/>
    </w:rPr>
  </w:style>
  <w:style w:type="character" w:styleId="Style17">
    <w:name w:val="Привязка сноски"/>
    <w:rPr>
      <w:vertAlign w:val="superscript"/>
    </w:rPr>
  </w:style>
  <w:style w:type="character" w:styleId="FootnoteCharacters">
    <w:name w:val="Footnote Characters"/>
    <w:basedOn w:val="DefaultParagraphFont"/>
    <w:uiPriority w:val="99"/>
    <w:semiHidden/>
    <w:unhideWhenUsed/>
    <w:qFormat/>
    <w:rsid w:val="00537e8b"/>
    <w:rPr>
      <w:vertAlign w:val="superscript"/>
    </w:rPr>
  </w:style>
  <w:style w:type="character" w:styleId="Blk" w:customStyle="1">
    <w:name w:val="blk"/>
    <w:basedOn w:val="DefaultParagraphFont"/>
    <w:qFormat/>
    <w:rsid w:val="00231567"/>
    <w:rPr/>
  </w:style>
  <w:style w:type="character" w:styleId="Annotationreference">
    <w:name w:val="annotation reference"/>
    <w:basedOn w:val="DefaultParagraphFont"/>
    <w:uiPriority w:val="99"/>
    <w:semiHidden/>
    <w:unhideWhenUsed/>
    <w:qFormat/>
    <w:rsid w:val="00442858"/>
    <w:rPr>
      <w:sz w:val="16"/>
      <w:szCs w:val="16"/>
    </w:rPr>
  </w:style>
  <w:style w:type="character" w:styleId="Style18" w:customStyle="1">
    <w:name w:val="Текст примечания Знак"/>
    <w:basedOn w:val="DefaultParagraphFont"/>
    <w:link w:val="af"/>
    <w:uiPriority w:val="99"/>
    <w:semiHidden/>
    <w:qFormat/>
    <w:rsid w:val="00442858"/>
    <w:rPr>
      <w:sz w:val="20"/>
      <w:szCs w:val="20"/>
    </w:rPr>
  </w:style>
  <w:style w:type="character" w:styleId="Style19" w:customStyle="1">
    <w:name w:val="Тема примечания Знак"/>
    <w:basedOn w:val="Style18"/>
    <w:link w:val="af1"/>
    <w:uiPriority w:val="99"/>
    <w:semiHidden/>
    <w:qFormat/>
    <w:rsid w:val="00442858"/>
    <w:rPr>
      <w:b/>
      <w:bCs/>
    </w:rPr>
  </w:style>
  <w:style w:type="paragraph" w:styleId="Style20">
    <w:name w:val="Заголовок"/>
    <w:basedOn w:val="Normal"/>
    <w:next w:val="Style21"/>
    <w:qFormat/>
    <w:pPr>
      <w:keepNext w:val="true"/>
      <w:spacing w:before="240" w:after="120"/>
    </w:pPr>
    <w:rPr>
      <w:rFonts w:ascii="Liberation Sans" w:hAnsi="Liberation Sans" w:eastAsia="Tahoma" w:cs="Lohit Devanagari"/>
      <w:sz w:val="28"/>
      <w:szCs w:val="28"/>
    </w:rPr>
  </w:style>
  <w:style w:type="paragraph" w:styleId="Style21">
    <w:name w:val="Body Text"/>
    <w:basedOn w:val="Normal"/>
    <w:pPr>
      <w:spacing w:lineRule="auto" w:line="276" w:before="0" w:after="140"/>
    </w:pPr>
    <w:rPr/>
  </w:style>
  <w:style w:type="paragraph" w:styleId="Style22">
    <w:name w:val="List"/>
    <w:basedOn w:val="Style21"/>
    <w:pPr/>
    <w:rPr>
      <w:rFonts w:cs="Lohit Devanagari"/>
    </w:rPr>
  </w:style>
  <w:style w:type="paragraph" w:styleId="Style23">
    <w:name w:val="Caption"/>
    <w:basedOn w:val="Normal"/>
    <w:qFormat/>
    <w:pPr>
      <w:suppressLineNumbers/>
      <w:spacing w:before="120" w:after="120"/>
    </w:pPr>
    <w:rPr>
      <w:rFonts w:cs="Lohit Devanagari"/>
      <w:i/>
      <w:iCs/>
      <w:sz w:val="24"/>
      <w:szCs w:val="24"/>
    </w:rPr>
  </w:style>
  <w:style w:type="paragraph" w:styleId="Style24">
    <w:name w:val="Указатель"/>
    <w:basedOn w:val="Normal"/>
    <w:qFormat/>
    <w:pPr>
      <w:suppressLineNumbers/>
    </w:pPr>
    <w:rPr>
      <w:rFonts w:cs="Lohit Devanagari"/>
    </w:rPr>
  </w:style>
  <w:style w:type="paragraph" w:styleId="Style25">
    <w:name w:val="Header"/>
    <w:basedOn w:val="Normal"/>
    <w:link w:val="a5"/>
    <w:uiPriority w:val="99"/>
    <w:unhideWhenUsed/>
    <w:rsid w:val="001f7781"/>
    <w:pPr>
      <w:tabs>
        <w:tab w:val="center" w:pos="4677" w:leader="none"/>
        <w:tab w:val="right" w:pos="9355" w:leader="none"/>
      </w:tabs>
    </w:pPr>
    <w:rPr/>
  </w:style>
  <w:style w:type="paragraph" w:styleId="Style26">
    <w:name w:val="Footer"/>
    <w:basedOn w:val="Normal"/>
    <w:link w:val="a7"/>
    <w:uiPriority w:val="99"/>
    <w:semiHidden/>
    <w:unhideWhenUsed/>
    <w:rsid w:val="001f7781"/>
    <w:pPr>
      <w:tabs>
        <w:tab w:val="center" w:pos="4677" w:leader="none"/>
        <w:tab w:val="right" w:pos="9355" w:leader="none"/>
      </w:tabs>
    </w:pPr>
    <w:rPr/>
  </w:style>
  <w:style w:type="paragraph" w:styleId="BalloonText">
    <w:name w:val="Balloon Text"/>
    <w:basedOn w:val="Normal"/>
    <w:link w:val="a9"/>
    <w:uiPriority w:val="99"/>
    <w:semiHidden/>
    <w:unhideWhenUsed/>
    <w:qFormat/>
    <w:rsid w:val="005d639e"/>
    <w:pPr/>
    <w:rPr>
      <w:rFonts w:ascii="Tahoma" w:hAnsi="Tahoma" w:cs="Tahoma"/>
      <w:sz w:val="16"/>
      <w:szCs w:val="16"/>
    </w:rPr>
  </w:style>
  <w:style w:type="paragraph" w:styleId="ListParagraph">
    <w:name w:val="List Paragraph"/>
    <w:basedOn w:val="Normal"/>
    <w:uiPriority w:val="34"/>
    <w:qFormat/>
    <w:rsid w:val="008f3840"/>
    <w:pPr>
      <w:spacing w:before="0" w:after="0"/>
      <w:ind w:left="720" w:hanging="0"/>
      <w:contextualSpacing/>
    </w:pPr>
    <w:rPr/>
  </w:style>
  <w:style w:type="paragraph" w:styleId="Style27">
    <w:name w:val="Footnote Text"/>
    <w:basedOn w:val="Normal"/>
    <w:link w:val="ac"/>
    <w:semiHidden/>
    <w:rsid w:val="005f74a6"/>
    <w:pPr/>
    <w:rPr>
      <w:rFonts w:eastAsia="Times New Roman"/>
      <w:sz w:val="20"/>
      <w:szCs w:val="20"/>
      <w:lang w:eastAsia="ru-RU"/>
    </w:rPr>
  </w:style>
  <w:style w:type="paragraph" w:styleId="ConsPlusNormal" w:customStyle="1">
    <w:name w:val="ConsPlusNormal"/>
    <w:qFormat/>
    <w:rsid w:val="00ac2d2c"/>
    <w:pPr>
      <w:widowControl w:val="false"/>
      <w:bidi w:val="0"/>
      <w:jc w:val="left"/>
    </w:pPr>
    <w:rPr>
      <w:rFonts w:ascii="Times New Roman" w:hAnsi="Times New Roman" w:eastAsia="Times New Roman" w:cs="Times New Roman"/>
      <w:bCs/>
      <w:color w:val="auto"/>
      <w:kern w:val="0"/>
      <w:sz w:val="28"/>
      <w:szCs w:val="20"/>
      <w:lang w:val="ru-RU" w:eastAsia="ru-RU" w:bidi="ar-SA"/>
    </w:rPr>
  </w:style>
  <w:style w:type="paragraph" w:styleId="Annotationtext">
    <w:name w:val="annotation text"/>
    <w:basedOn w:val="Normal"/>
    <w:link w:val="af0"/>
    <w:uiPriority w:val="99"/>
    <w:semiHidden/>
    <w:unhideWhenUsed/>
    <w:qFormat/>
    <w:rsid w:val="00442858"/>
    <w:pPr/>
    <w:rPr>
      <w:sz w:val="20"/>
      <w:szCs w:val="20"/>
    </w:rPr>
  </w:style>
  <w:style w:type="paragraph" w:styleId="Annotationsubject">
    <w:name w:val="annotation subject"/>
    <w:basedOn w:val="Annotationtext"/>
    <w:link w:val="af2"/>
    <w:uiPriority w:val="99"/>
    <w:semiHidden/>
    <w:unhideWhenUsed/>
    <w:qFormat/>
    <w:rsid w:val="00442858"/>
    <w:pPr/>
    <w:rPr>
      <w:b/>
      <w:bCs/>
    </w:rPr>
  </w:style>
  <w:style w:type="paragraph" w:styleId="Revision">
    <w:name w:val="Revision"/>
    <w:uiPriority w:val="99"/>
    <w:semiHidden/>
    <w:qFormat/>
    <w:rsid w:val="00442858"/>
    <w:pPr>
      <w:widowControl/>
      <w:bidi w:val="0"/>
      <w:jc w:val="left"/>
    </w:pPr>
    <w:rPr>
      <w:rFonts w:ascii="Times New Roman" w:hAnsi="Times New Roman" w:eastAsia="Calibri" w:cs="Times New Roman" w:eastAsiaTheme="minorHAnsi"/>
      <w:color w:val="auto"/>
      <w:kern w:val="0"/>
      <w:sz w:val="28"/>
      <w:szCs w:val="28"/>
      <w:lang w:val="ru-RU" w:eastAsia="en-US"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042AC-54EE-49A3-A5B2-720B6179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Application>LibreOffice/6.0.6.1$Linux_X86_64 LibreOffice_project/00$Build-1</Application>
  <Pages>5</Pages>
  <Words>1266</Words>
  <Characters>9813</Characters>
  <CharactersWithSpaces>11041</CharactersWithSpaces>
  <Paragraphs>55</Paragraphs>
  <Company>MTSZ</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2017-06-07T16:01:00Z</dcterms:created>
  <dc:creator>ishmuratovra</dc:creator>
  <dc:description/>
  <dc:language>ru-RU</dc:language>
  <cp:lastModifiedBy/>
  <cp:lastPrinted>2019-12-16T09:10:10Z</cp:lastPrinted>
  <dcterms:modified xsi:type="dcterms:W3CDTF">2019-12-16T09:11:22Z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MTSZ</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